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3C" w:rsidRPr="00461D50" w:rsidRDefault="00707D5E">
      <w:pPr>
        <w:rPr>
          <w:b/>
          <w:sz w:val="32"/>
        </w:rPr>
      </w:pPr>
      <w:r w:rsidRPr="00707D5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-863125</wp:posOffset>
            </wp:positionV>
            <wp:extent cx="2719070" cy="734938"/>
            <wp:effectExtent l="19050" t="0" r="5080" b="0"/>
            <wp:wrapNone/>
            <wp:docPr id="1" name="Picture 1" descr="http://www.iopp.org/images/IoPPLogoH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opp.org/images/IoPPLogoHiR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73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839" w:rsidRPr="00461D50">
        <w:rPr>
          <w:b/>
          <w:sz w:val="32"/>
        </w:rPr>
        <w:t>Transport Packaging Committee</w:t>
      </w:r>
      <w:r w:rsidR="00461D50">
        <w:rPr>
          <w:b/>
          <w:sz w:val="32"/>
        </w:rPr>
        <w:t xml:space="preserve"> (TPC)</w:t>
      </w:r>
    </w:p>
    <w:p w:rsidR="00E542C0" w:rsidRDefault="005170E7" w:rsidP="00E542C0">
      <w:pPr>
        <w:spacing w:after="0" w:line="240" w:lineRule="auto"/>
        <w:rPr>
          <w:b/>
          <w:bCs/>
        </w:rPr>
      </w:pPr>
      <w:proofErr w:type="gramStart"/>
      <w:r>
        <w:rPr>
          <w:b/>
          <w:bCs/>
        </w:rPr>
        <w:t>Quarterly meeting of the</w:t>
      </w:r>
      <w:r w:rsidR="00E542C0">
        <w:rPr>
          <w:b/>
          <w:bCs/>
        </w:rPr>
        <w:t xml:space="preserve"> Transport Packaging Committee (TPC) on Wednesday, </w:t>
      </w:r>
      <w:r>
        <w:rPr>
          <w:b/>
          <w:bCs/>
        </w:rPr>
        <w:t>December 3</w:t>
      </w:r>
      <w:r w:rsidR="00E542C0">
        <w:rPr>
          <w:b/>
          <w:bCs/>
        </w:rPr>
        <w:t>, 2014.</w:t>
      </w:r>
      <w:proofErr w:type="gramEnd"/>
    </w:p>
    <w:p w:rsidR="00E542C0" w:rsidRDefault="00E542C0" w:rsidP="009F0839">
      <w:pPr>
        <w:spacing w:after="0"/>
        <w:rPr>
          <w:b/>
        </w:rPr>
      </w:pPr>
    </w:p>
    <w:p w:rsidR="009F0839" w:rsidRPr="009F0839" w:rsidRDefault="009F0839" w:rsidP="009F0839">
      <w:pPr>
        <w:spacing w:after="0"/>
        <w:rPr>
          <w:b/>
        </w:rPr>
      </w:pPr>
      <w:r w:rsidRPr="009F0839">
        <w:rPr>
          <w:b/>
        </w:rPr>
        <w:t>Mission Statement:</w:t>
      </w:r>
    </w:p>
    <w:p w:rsidR="00725023" w:rsidRDefault="009F0839" w:rsidP="009F0839">
      <w:pPr>
        <w:spacing w:after="0" w:line="240" w:lineRule="auto"/>
        <w:rPr>
          <w:bCs/>
        </w:rPr>
      </w:pPr>
      <w:r w:rsidRPr="006409A7">
        <w:rPr>
          <w:bCs/>
        </w:rPr>
        <w:t xml:space="preserve">The </w:t>
      </w:r>
      <w:r>
        <w:rPr>
          <w:bCs/>
        </w:rPr>
        <w:t>mission</w:t>
      </w:r>
      <w:r w:rsidRPr="006409A7">
        <w:rPr>
          <w:bCs/>
        </w:rPr>
        <w:t xml:space="preserve"> of the</w:t>
      </w:r>
      <w:r w:rsidR="006D7646">
        <w:rPr>
          <w:bCs/>
        </w:rPr>
        <w:t xml:space="preserve"> </w:t>
      </w:r>
      <w:r w:rsidR="00461D50">
        <w:rPr>
          <w:bCs/>
        </w:rPr>
        <w:t>TPC</w:t>
      </w:r>
      <w:r w:rsidRPr="006409A7">
        <w:rPr>
          <w:bCs/>
        </w:rPr>
        <w:t xml:space="preserve"> is to report, inform and educate IoPP members</w:t>
      </w:r>
      <w:r w:rsidR="00190276">
        <w:rPr>
          <w:bCs/>
        </w:rPr>
        <w:t>,</w:t>
      </w:r>
      <w:r w:rsidRPr="006409A7">
        <w:rPr>
          <w:bCs/>
        </w:rPr>
        <w:t xml:space="preserve"> and members of the packaging community</w:t>
      </w:r>
      <w:r w:rsidR="00190276">
        <w:rPr>
          <w:bCs/>
        </w:rPr>
        <w:t>,</w:t>
      </w:r>
      <w:r w:rsidRPr="006409A7">
        <w:rPr>
          <w:bCs/>
        </w:rPr>
        <w:t xml:space="preserve"> on current technical requirements for the distribution of packaged products through storage and handling at manufacturing plants, distribution and customer facilities, and transportation through various modes.</w:t>
      </w:r>
    </w:p>
    <w:p w:rsidR="00725023" w:rsidRDefault="00725023" w:rsidP="009F0839">
      <w:pPr>
        <w:spacing w:after="0" w:line="240" w:lineRule="auto"/>
        <w:rPr>
          <w:bCs/>
        </w:rPr>
      </w:pPr>
    </w:p>
    <w:p w:rsidR="00190276" w:rsidRDefault="00E542C0" w:rsidP="009F083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TPC </w:t>
      </w:r>
      <w:r w:rsidR="00AC1579">
        <w:rPr>
          <w:b/>
          <w:bCs/>
        </w:rPr>
        <w:t>Officers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>
        <w:rPr>
          <w:b/>
          <w:bCs/>
        </w:rPr>
        <w:tab/>
      </w:r>
      <w:r w:rsidR="00AC1579">
        <w:rPr>
          <w:bCs/>
        </w:rPr>
        <w:t>Chairman</w:t>
      </w:r>
      <w:r w:rsidRPr="00E542C0">
        <w:rPr>
          <w:bCs/>
        </w:rPr>
        <w:t xml:space="preserve">:  AJ Gruber – ISTA 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 w:rsidRPr="00E542C0">
        <w:rPr>
          <w:bCs/>
        </w:rPr>
        <w:tab/>
        <w:t xml:space="preserve">Vice </w:t>
      </w:r>
      <w:r w:rsidR="00AC1579">
        <w:rPr>
          <w:bCs/>
        </w:rPr>
        <w:t>Chairman</w:t>
      </w:r>
      <w:r w:rsidRPr="00E542C0">
        <w:rPr>
          <w:bCs/>
        </w:rPr>
        <w:t>:  Pat Laurie – Bissell</w:t>
      </w:r>
    </w:p>
    <w:p w:rsidR="00E542C0" w:rsidRPr="00E542C0" w:rsidRDefault="00E542C0" w:rsidP="009F0839">
      <w:pPr>
        <w:spacing w:after="0" w:line="240" w:lineRule="auto"/>
        <w:rPr>
          <w:bCs/>
        </w:rPr>
      </w:pPr>
      <w:r w:rsidRPr="00E542C0">
        <w:rPr>
          <w:bCs/>
        </w:rPr>
        <w:tab/>
        <w:t xml:space="preserve">Secretary:  Chip Krieg – Sonoco </w:t>
      </w:r>
    </w:p>
    <w:p w:rsidR="00E542C0" w:rsidRDefault="00E542C0" w:rsidP="009F0839">
      <w:pPr>
        <w:spacing w:after="0" w:line="240" w:lineRule="auto"/>
        <w:rPr>
          <w:b/>
          <w:bCs/>
        </w:rPr>
      </w:pPr>
    </w:p>
    <w:p w:rsidR="00190276" w:rsidRPr="00190276" w:rsidRDefault="00190276" w:rsidP="00190276">
      <w:pPr>
        <w:spacing w:after="0" w:line="240" w:lineRule="auto"/>
        <w:rPr>
          <w:b/>
          <w:bCs/>
        </w:rPr>
      </w:pPr>
      <w:r w:rsidRPr="00190276">
        <w:rPr>
          <w:b/>
          <w:bCs/>
        </w:rPr>
        <w:t>Agenda:</w:t>
      </w:r>
    </w:p>
    <w:p w:rsidR="005170E7" w:rsidRDefault="005170E7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Anti-Trust Compliance (AJ Gruber)</w:t>
      </w:r>
    </w:p>
    <w:p w:rsidR="009F0839" w:rsidRPr="00190276" w:rsidRDefault="00190276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Review Website updates (Pat Laurie)</w:t>
      </w:r>
    </w:p>
    <w:p w:rsidR="00725023" w:rsidRDefault="00190276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Review Freight &amp; Small Parcel Guidelines  (AJ Gruber)</w:t>
      </w:r>
    </w:p>
    <w:p w:rsidR="00E633AC" w:rsidRDefault="00190276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Review Regulations &amp; Standards update (Bryan Williams</w:t>
      </w:r>
      <w:r w:rsidR="00AC1579">
        <w:t xml:space="preserve"> - Lansmont</w:t>
      </w:r>
      <w:r>
        <w:t>)</w:t>
      </w:r>
    </w:p>
    <w:p w:rsidR="00725023" w:rsidRDefault="005170E7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Subject Matter Expert discussion  (AJ Gruber)</w:t>
      </w:r>
    </w:p>
    <w:p w:rsidR="005170E7" w:rsidRPr="00725023" w:rsidRDefault="005170E7" w:rsidP="00725023">
      <w:pPr>
        <w:pStyle w:val="ListParagraph"/>
        <w:numPr>
          <w:ilvl w:val="0"/>
          <w:numId w:val="5"/>
        </w:numPr>
        <w:spacing w:after="0" w:line="240" w:lineRule="auto"/>
      </w:pPr>
      <w:r>
        <w:t>Open Discussion</w:t>
      </w:r>
    </w:p>
    <w:p w:rsidR="009F0839" w:rsidRDefault="009F0839" w:rsidP="009F0839">
      <w:pPr>
        <w:spacing w:after="0" w:line="240" w:lineRule="auto"/>
      </w:pPr>
    </w:p>
    <w:p w:rsidR="009F0839" w:rsidRDefault="00190276" w:rsidP="009F0839">
      <w:pPr>
        <w:spacing w:after="0" w:line="240" w:lineRule="auto"/>
        <w:rPr>
          <w:b/>
        </w:rPr>
      </w:pPr>
      <w:r>
        <w:rPr>
          <w:b/>
        </w:rPr>
        <w:t>Roll Call was taken.</w:t>
      </w:r>
    </w:p>
    <w:p w:rsidR="00190276" w:rsidRDefault="00190276" w:rsidP="009F0839">
      <w:pPr>
        <w:spacing w:after="0" w:line="240" w:lineRule="auto"/>
      </w:pPr>
      <w:r w:rsidRPr="00190276">
        <w:tab/>
        <w:t>A list of the participants is at the end of the notes.  If we missed your name, please let me know.</w:t>
      </w:r>
    </w:p>
    <w:p w:rsidR="00190276" w:rsidRDefault="00190276" w:rsidP="009F0839">
      <w:pPr>
        <w:spacing w:after="0" w:line="240" w:lineRule="auto"/>
      </w:pPr>
    </w:p>
    <w:p w:rsidR="005170E7" w:rsidRPr="005170E7" w:rsidRDefault="005170E7" w:rsidP="009F0839">
      <w:pPr>
        <w:spacing w:after="0" w:line="240" w:lineRule="auto"/>
        <w:rPr>
          <w:b/>
        </w:rPr>
      </w:pPr>
      <w:r w:rsidRPr="005170E7">
        <w:rPr>
          <w:b/>
        </w:rPr>
        <w:t>Anti-Trust compliance was read, per the IoPP Committee Charter.</w:t>
      </w:r>
    </w:p>
    <w:p w:rsidR="005170E7" w:rsidRDefault="005170E7" w:rsidP="009F0839">
      <w:pPr>
        <w:spacing w:after="0" w:line="240" w:lineRule="auto"/>
      </w:pPr>
    </w:p>
    <w:p w:rsidR="00190276" w:rsidRPr="00190276" w:rsidRDefault="00190276" w:rsidP="009F0839">
      <w:pPr>
        <w:spacing w:after="0" w:line="240" w:lineRule="auto"/>
        <w:rPr>
          <w:b/>
        </w:rPr>
      </w:pPr>
      <w:r w:rsidRPr="00190276">
        <w:rPr>
          <w:b/>
        </w:rPr>
        <w:t>Website Update</w:t>
      </w:r>
    </w:p>
    <w:p w:rsidR="00461D50" w:rsidRDefault="005170E7" w:rsidP="007175E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Pat Laurie went over </w:t>
      </w:r>
      <w:r w:rsidR="00190276">
        <w:t>revis</w:t>
      </w:r>
      <w:r>
        <w:t>ions to the Website</w:t>
      </w:r>
      <w:r w:rsidR="00190276">
        <w:t>.</w:t>
      </w:r>
    </w:p>
    <w:p w:rsidR="005170E7" w:rsidRDefault="005170E7" w:rsidP="007175ED">
      <w:pPr>
        <w:pStyle w:val="ListParagraph"/>
        <w:numPr>
          <w:ilvl w:val="0"/>
          <w:numId w:val="2"/>
        </w:numPr>
        <w:spacing w:after="0" w:line="240" w:lineRule="auto"/>
      </w:pPr>
      <w:r>
        <w:t>A News &amp; Events tab has been created to broadcast upcoming events.</w:t>
      </w:r>
    </w:p>
    <w:p w:rsidR="00301599" w:rsidRDefault="00E542C0" w:rsidP="005170E7">
      <w:pPr>
        <w:pStyle w:val="ListParagraph"/>
        <w:numPr>
          <w:ilvl w:val="0"/>
          <w:numId w:val="2"/>
        </w:numPr>
      </w:pPr>
      <w:r>
        <w:t>Website Link</w:t>
      </w:r>
      <w:r w:rsidR="00190276">
        <w:t xml:space="preserve">: </w:t>
      </w:r>
      <w:hyperlink r:id="rId7" w:history="1">
        <w:r w:rsidRPr="00E542C0">
          <w:rPr>
            <w:rStyle w:val="Hyperlink"/>
          </w:rPr>
          <w:t>Transport Packaging Committee - Institute of Packaging Professionals</w:t>
        </w:r>
      </w:hyperlink>
    </w:p>
    <w:p w:rsidR="00301599" w:rsidRPr="00190276" w:rsidRDefault="00190276" w:rsidP="00301599">
      <w:pPr>
        <w:spacing w:after="0" w:line="240" w:lineRule="auto"/>
        <w:rPr>
          <w:b/>
        </w:rPr>
      </w:pPr>
      <w:r w:rsidRPr="00190276">
        <w:rPr>
          <w:b/>
        </w:rPr>
        <w:t>Freight &amp; Small Parcel Guidelines</w:t>
      </w:r>
    </w:p>
    <w:p w:rsidR="00190276" w:rsidRDefault="00190276" w:rsidP="00190276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AJ Gruber reviewed </w:t>
      </w:r>
      <w:r w:rsidR="005170E7">
        <w:t>a suggestion to keep the Guidelines generic; use it as a reference as to where to find specific test procedures, rather than spelling out specific test methods.</w:t>
      </w:r>
    </w:p>
    <w:p w:rsidR="005170E7" w:rsidRDefault="005170E7" w:rsidP="005170E7">
      <w:pPr>
        <w:pStyle w:val="ListParagraph"/>
        <w:numPr>
          <w:ilvl w:val="1"/>
          <w:numId w:val="6"/>
        </w:numPr>
        <w:spacing w:after="0" w:line="240" w:lineRule="auto"/>
      </w:pPr>
      <w:r>
        <w:t>Want to keep the Guidelines as reference material.</w:t>
      </w:r>
    </w:p>
    <w:p w:rsidR="005170E7" w:rsidRDefault="005170E7" w:rsidP="005170E7">
      <w:pPr>
        <w:pStyle w:val="ListParagraph"/>
        <w:numPr>
          <w:ilvl w:val="1"/>
          <w:numId w:val="6"/>
        </w:numPr>
        <w:spacing w:after="0" w:line="240" w:lineRule="auto"/>
      </w:pPr>
      <w:r>
        <w:t>Details could be addressed by a sub-committee</w:t>
      </w:r>
    </w:p>
    <w:p w:rsidR="00190276" w:rsidRDefault="00190276" w:rsidP="00190276">
      <w:pPr>
        <w:spacing w:after="0" w:line="240" w:lineRule="auto"/>
      </w:pPr>
    </w:p>
    <w:p w:rsidR="00190276" w:rsidRPr="00190276" w:rsidRDefault="00190276" w:rsidP="00190276">
      <w:pPr>
        <w:spacing w:after="0" w:line="240" w:lineRule="auto"/>
        <w:rPr>
          <w:b/>
        </w:rPr>
      </w:pPr>
      <w:r w:rsidRPr="00190276">
        <w:rPr>
          <w:b/>
        </w:rPr>
        <w:t>Regulations &amp; Standards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Bryan Williams reviewed his slides and the various updated standards.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ISTA Updates</w:t>
      </w:r>
    </w:p>
    <w:p w:rsidR="00190276" w:rsidRDefault="005170E7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ISTA Standards are now ANSI accredited</w:t>
      </w:r>
    </w:p>
    <w:p w:rsidR="00190276" w:rsidRDefault="00190276" w:rsidP="00190276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Standard 20 </w:t>
      </w:r>
      <w:r w:rsidR="005170E7">
        <w:t xml:space="preserve">Rev 2 </w:t>
      </w:r>
      <w:r>
        <w:t>for Thermo</w:t>
      </w:r>
      <w:r w:rsidR="005170E7">
        <w:t xml:space="preserve"> is in the Approval cycle.</w:t>
      </w:r>
    </w:p>
    <w:p w:rsidR="00190276" w:rsidRDefault="005170E7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Project 6-Amazon.com</w:t>
      </w:r>
    </w:p>
    <w:p w:rsidR="005170E7" w:rsidRDefault="005170E7" w:rsidP="005170E7">
      <w:pPr>
        <w:pStyle w:val="ListParagraph"/>
        <w:numPr>
          <w:ilvl w:val="2"/>
          <w:numId w:val="7"/>
        </w:numPr>
        <w:spacing w:after="0" w:line="240" w:lineRule="auto"/>
      </w:pPr>
      <w:r>
        <w:t>Creditable testing for heavy (&gt;70#) products.</w:t>
      </w:r>
    </w:p>
    <w:p w:rsidR="005170E7" w:rsidRDefault="005170E7" w:rsidP="005170E7">
      <w:pPr>
        <w:pStyle w:val="ListParagraph"/>
        <w:numPr>
          <w:ilvl w:val="2"/>
          <w:numId w:val="7"/>
        </w:numPr>
        <w:spacing w:after="0" w:line="240" w:lineRule="auto"/>
      </w:pPr>
      <w:r>
        <w:t>ISTA Labs will be able to complete testing.</w:t>
      </w:r>
    </w:p>
    <w:p w:rsidR="005170E7" w:rsidRDefault="005170E7" w:rsidP="005170E7">
      <w:pPr>
        <w:pStyle w:val="ListParagraph"/>
        <w:numPr>
          <w:ilvl w:val="2"/>
          <w:numId w:val="7"/>
        </w:numPr>
        <w:spacing w:after="0" w:line="240" w:lineRule="auto"/>
      </w:pPr>
      <w:r>
        <w:lastRenderedPageBreak/>
        <w:t>Spec is available on the ISTA website.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ASTM Updates</w:t>
      </w:r>
    </w:p>
    <w:p w:rsidR="005170E7" w:rsidRDefault="005170E7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Highlighted October meeting in New Orleans.</w:t>
      </w:r>
    </w:p>
    <w:p w:rsidR="00190276" w:rsidRDefault="00190276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D4169</w:t>
      </w:r>
      <w:r w:rsidR="005170E7">
        <w:t xml:space="preserve"> Random Vibration sequence is being updated.</w:t>
      </w:r>
    </w:p>
    <w:p w:rsidR="005170E7" w:rsidRDefault="005170E7" w:rsidP="005170E7">
      <w:pPr>
        <w:pStyle w:val="ListParagraph"/>
        <w:numPr>
          <w:ilvl w:val="2"/>
          <w:numId w:val="7"/>
        </w:numPr>
        <w:spacing w:after="0" w:line="240" w:lineRule="auto"/>
      </w:pPr>
      <w:r>
        <w:t xml:space="preserve">New vibration information should be released in the </w:t>
      </w:r>
      <w:proofErr w:type="gramStart"/>
      <w:r>
        <w:t>Spring</w:t>
      </w:r>
      <w:proofErr w:type="gramEnd"/>
      <w:r>
        <w:t xml:space="preserve"> of 2015.</w:t>
      </w:r>
    </w:p>
    <w:p w:rsidR="00190276" w:rsidRDefault="005170E7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ANSI committee/TAG ISO TC 122 representation</w:t>
      </w:r>
    </w:p>
    <w:p w:rsidR="00190276" w:rsidRDefault="005170E7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Looking for a new champion to represent US interests</w:t>
      </w:r>
    </w:p>
    <w:p w:rsidR="00190276" w:rsidRDefault="005170E7" w:rsidP="00190276">
      <w:pPr>
        <w:pStyle w:val="ListParagraph"/>
        <w:numPr>
          <w:ilvl w:val="1"/>
          <w:numId w:val="7"/>
        </w:numPr>
        <w:spacing w:after="0" w:line="240" w:lineRule="auto"/>
      </w:pPr>
      <w:r>
        <w:t>If interested, please contact MHI</w:t>
      </w:r>
    </w:p>
    <w:p w:rsidR="00190276" w:rsidRDefault="00190276" w:rsidP="00190276">
      <w:pPr>
        <w:pStyle w:val="ListParagraph"/>
        <w:numPr>
          <w:ilvl w:val="0"/>
          <w:numId w:val="7"/>
        </w:numPr>
        <w:spacing w:after="0" w:line="240" w:lineRule="auto"/>
      </w:pPr>
      <w:r>
        <w:t>Updated standards will be on the Website.</w:t>
      </w:r>
    </w:p>
    <w:p w:rsidR="00190276" w:rsidRDefault="00190276" w:rsidP="00190276">
      <w:pPr>
        <w:spacing w:after="0" w:line="240" w:lineRule="auto"/>
      </w:pPr>
    </w:p>
    <w:p w:rsidR="00190276" w:rsidRPr="00E542C0" w:rsidRDefault="00060388" w:rsidP="00190276">
      <w:pPr>
        <w:spacing w:after="0" w:line="240" w:lineRule="auto"/>
        <w:rPr>
          <w:b/>
        </w:rPr>
      </w:pPr>
      <w:r>
        <w:rPr>
          <w:b/>
        </w:rPr>
        <w:t>Subject Matter Expert</w:t>
      </w:r>
    </w:p>
    <w:p w:rsidR="007429A4" w:rsidRDefault="007429A4" w:rsidP="00190276">
      <w:pPr>
        <w:pStyle w:val="ListParagraph"/>
        <w:numPr>
          <w:ilvl w:val="0"/>
          <w:numId w:val="9"/>
        </w:numPr>
        <w:spacing w:after="0" w:line="240" w:lineRule="auto"/>
      </w:pPr>
      <w:r>
        <w:t>This topic was to address an open forum question/answer area for the website and how to address or assign an “Expert” to various topics.</w:t>
      </w:r>
    </w:p>
    <w:p w:rsidR="00190276" w:rsidRDefault="00190276" w:rsidP="00190276">
      <w:pPr>
        <w:pStyle w:val="ListParagraph"/>
        <w:numPr>
          <w:ilvl w:val="0"/>
          <w:numId w:val="9"/>
        </w:numPr>
        <w:spacing w:after="0" w:line="240" w:lineRule="auto"/>
      </w:pPr>
      <w:r>
        <w:t>W</w:t>
      </w:r>
      <w:r w:rsidR="00060388">
        <w:t>e had a very good discussion on how to define an “Expert” to be used in an open forum online discussions for the Website.</w:t>
      </w:r>
    </w:p>
    <w:p w:rsidR="00190276" w:rsidRDefault="00060388" w:rsidP="00190276">
      <w:pPr>
        <w:pStyle w:val="ListParagraph"/>
        <w:numPr>
          <w:ilvl w:val="0"/>
          <w:numId w:val="9"/>
        </w:numPr>
        <w:spacing w:after="0" w:line="240" w:lineRule="auto"/>
      </w:pPr>
      <w:r>
        <w:t>Consensus was to re-term “Expert” as “Experienced”</w:t>
      </w:r>
    </w:p>
    <w:p w:rsidR="00060388" w:rsidRDefault="00060388" w:rsidP="00060388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Individuals answering questions posted on the website should be knowledgeable of the subject matter; </w:t>
      </w:r>
    </w:p>
    <w:p w:rsidR="00060388" w:rsidRDefault="00060388" w:rsidP="00060388">
      <w:pPr>
        <w:pStyle w:val="ListParagraph"/>
        <w:numPr>
          <w:ilvl w:val="1"/>
          <w:numId w:val="9"/>
        </w:numPr>
        <w:spacing w:after="0" w:line="240" w:lineRule="auto"/>
      </w:pPr>
      <w:r>
        <w:t>They should be Experienced with solutions and theories; and,</w:t>
      </w:r>
    </w:p>
    <w:p w:rsidR="00060388" w:rsidRDefault="00060388" w:rsidP="00060388">
      <w:pPr>
        <w:pStyle w:val="ListParagraph"/>
        <w:numPr>
          <w:ilvl w:val="1"/>
          <w:numId w:val="9"/>
        </w:numPr>
        <w:spacing w:after="0" w:line="240" w:lineRule="auto"/>
      </w:pPr>
      <w:r>
        <w:t>It is open to anyone within the TPC.</w:t>
      </w:r>
    </w:p>
    <w:p w:rsidR="00190276" w:rsidRDefault="007429A4" w:rsidP="00190276">
      <w:pPr>
        <w:pStyle w:val="ListParagraph"/>
        <w:numPr>
          <w:ilvl w:val="0"/>
          <w:numId w:val="9"/>
        </w:numPr>
        <w:spacing w:after="0" w:line="240" w:lineRule="auto"/>
      </w:pPr>
      <w:r>
        <w:t>Would like to have the capability to allow the person posting the question to be able to give a timeline as to how urgent an answer is needed.</w:t>
      </w:r>
    </w:p>
    <w:p w:rsidR="00BF745D" w:rsidRDefault="00BF745D" w:rsidP="00BF745D">
      <w:pPr>
        <w:spacing w:after="0" w:line="240" w:lineRule="auto"/>
      </w:pPr>
    </w:p>
    <w:p w:rsidR="00BF745D" w:rsidRPr="00E542C0" w:rsidRDefault="00BF745D" w:rsidP="00BF745D">
      <w:pPr>
        <w:spacing w:after="0" w:line="240" w:lineRule="auto"/>
        <w:rPr>
          <w:b/>
        </w:rPr>
      </w:pPr>
      <w:r w:rsidRPr="00E542C0">
        <w:rPr>
          <w:b/>
        </w:rPr>
        <w:t>Other Discussions</w:t>
      </w:r>
    </w:p>
    <w:p w:rsidR="00301599" w:rsidRPr="007429A4" w:rsidRDefault="007429A4" w:rsidP="00E542C0">
      <w:pPr>
        <w:pStyle w:val="ListParagraph"/>
        <w:numPr>
          <w:ilvl w:val="0"/>
          <w:numId w:val="11"/>
        </w:numPr>
        <w:spacing w:after="0" w:line="240" w:lineRule="auto"/>
      </w:pPr>
      <w:r>
        <w:t>Rob Egan started a discussion on ISTA 3A and 3E testing procedures and relevance.</w:t>
      </w:r>
    </w:p>
    <w:p w:rsidR="00E542C0" w:rsidRDefault="007429A4" w:rsidP="00E542C0">
      <w:pPr>
        <w:pStyle w:val="ListParagraph"/>
        <w:numPr>
          <w:ilvl w:val="1"/>
          <w:numId w:val="11"/>
        </w:numPr>
        <w:spacing w:after="0" w:line="240" w:lineRule="auto"/>
      </w:pPr>
      <w:r>
        <w:t>Explanations for the reasoning and rationale for the current methods were discussed by AJ Gruber.</w:t>
      </w:r>
    </w:p>
    <w:p w:rsidR="007429A4" w:rsidRDefault="007429A4" w:rsidP="00E542C0">
      <w:pPr>
        <w:pStyle w:val="ListParagraph"/>
        <w:numPr>
          <w:ilvl w:val="1"/>
          <w:numId w:val="11"/>
        </w:numPr>
        <w:spacing w:after="0" w:line="240" w:lineRule="auto"/>
      </w:pPr>
      <w:r>
        <w:t>Cosmetic reasons and performance of various cushioning materials were also discussed.</w:t>
      </w:r>
    </w:p>
    <w:p w:rsidR="00E542C0" w:rsidRDefault="007429A4" w:rsidP="00E542C0">
      <w:pPr>
        <w:pStyle w:val="ListParagraph"/>
        <w:numPr>
          <w:ilvl w:val="0"/>
          <w:numId w:val="11"/>
        </w:numPr>
        <w:spacing w:after="0" w:line="240" w:lineRule="auto"/>
      </w:pPr>
      <w:r>
        <w:t>Rob Egan also brought up the question of Sample Size.</w:t>
      </w:r>
    </w:p>
    <w:p w:rsidR="007429A4" w:rsidRDefault="007429A4" w:rsidP="007429A4">
      <w:pPr>
        <w:pStyle w:val="ListParagraph"/>
        <w:numPr>
          <w:ilvl w:val="1"/>
          <w:numId w:val="11"/>
        </w:numPr>
        <w:spacing w:after="0" w:line="240" w:lineRule="auto"/>
      </w:pPr>
      <w:r>
        <w:t>What is the proper sample size for validation?</w:t>
      </w:r>
    </w:p>
    <w:p w:rsidR="007429A4" w:rsidRDefault="007429A4" w:rsidP="007429A4">
      <w:pPr>
        <w:pStyle w:val="ListParagraph"/>
        <w:numPr>
          <w:ilvl w:val="1"/>
          <w:numId w:val="11"/>
        </w:numPr>
        <w:spacing w:after="0" w:line="240" w:lineRule="auto"/>
      </w:pPr>
      <w:r>
        <w:t>What is the proper sample size for confidence in a test?</w:t>
      </w:r>
    </w:p>
    <w:p w:rsidR="007429A4" w:rsidRDefault="007429A4" w:rsidP="007429A4">
      <w:pPr>
        <w:pStyle w:val="ListParagraph"/>
        <w:numPr>
          <w:ilvl w:val="1"/>
          <w:numId w:val="11"/>
        </w:numPr>
        <w:spacing w:after="0" w:line="240" w:lineRule="auto"/>
      </w:pPr>
      <w:r>
        <w:t>Multiple answers were given depending on time to market, product size, product availability, and previous packaging testing (confidence).</w:t>
      </w:r>
    </w:p>
    <w:p w:rsidR="007429A4" w:rsidRDefault="007429A4" w:rsidP="007429A4">
      <w:pPr>
        <w:pStyle w:val="ListParagraph"/>
        <w:numPr>
          <w:ilvl w:val="1"/>
          <w:numId w:val="11"/>
        </w:numPr>
        <w:spacing w:after="0" w:line="240" w:lineRule="auto"/>
      </w:pPr>
      <w:r>
        <w:t>Rob has volunteered to start a sub-committee to survey sample sizes used by various companies and industries.</w:t>
      </w:r>
    </w:p>
    <w:p w:rsidR="007429A4" w:rsidRPr="00E542C0" w:rsidRDefault="007429A4" w:rsidP="007429A4">
      <w:pPr>
        <w:pStyle w:val="ListParagraph"/>
        <w:numPr>
          <w:ilvl w:val="2"/>
          <w:numId w:val="11"/>
        </w:numPr>
        <w:spacing w:after="0" w:line="240" w:lineRule="auto"/>
      </w:pPr>
      <w:r>
        <w:t>If you would like to help him, contact Rob Egan.</w:t>
      </w:r>
    </w:p>
    <w:p w:rsidR="00E542C0" w:rsidRDefault="00E542C0" w:rsidP="00E542C0">
      <w:pPr>
        <w:spacing w:after="0" w:line="240" w:lineRule="auto"/>
      </w:pPr>
    </w:p>
    <w:p w:rsidR="00E542C0" w:rsidRDefault="00E542C0" w:rsidP="00E542C0">
      <w:pPr>
        <w:spacing w:after="0" w:line="240" w:lineRule="auto"/>
      </w:pPr>
    </w:p>
    <w:p w:rsidR="00E542C0" w:rsidRDefault="00E542C0" w:rsidP="00E542C0">
      <w:pPr>
        <w:spacing w:after="0" w:line="240" w:lineRule="auto"/>
      </w:pPr>
      <w:r>
        <w:t xml:space="preserve">Notes from the </w:t>
      </w:r>
      <w:r w:rsidR="007429A4">
        <w:t>December 3</w:t>
      </w:r>
      <w:r>
        <w:t>, 2014, TPC Meeting as transcribed by:</w:t>
      </w:r>
    </w:p>
    <w:p w:rsidR="00E542C0" w:rsidRDefault="00E542C0" w:rsidP="00E542C0">
      <w:pPr>
        <w:spacing w:after="0" w:line="240" w:lineRule="auto"/>
      </w:pPr>
    </w:p>
    <w:p w:rsidR="00E542C0" w:rsidRDefault="00E542C0" w:rsidP="00E542C0">
      <w:pPr>
        <w:spacing w:after="0" w:line="240" w:lineRule="auto"/>
      </w:pPr>
      <w:r>
        <w:t>Chip Krieg, CPP</w:t>
      </w:r>
    </w:p>
    <w:p w:rsidR="00E542C0" w:rsidRDefault="00E542C0" w:rsidP="00E542C0">
      <w:pPr>
        <w:spacing w:after="0" w:line="240" w:lineRule="auto"/>
      </w:pPr>
      <w:r>
        <w:t>IoPP Transport Packaging Secretary</w:t>
      </w:r>
    </w:p>
    <w:p w:rsidR="00E542C0" w:rsidRDefault="00771454" w:rsidP="00E542C0">
      <w:pPr>
        <w:spacing w:after="0" w:line="240" w:lineRule="auto"/>
      </w:pPr>
      <w:hyperlink r:id="rId8" w:history="1">
        <w:r w:rsidR="00E542C0" w:rsidRPr="00D814B7">
          <w:rPr>
            <w:rStyle w:val="Hyperlink"/>
          </w:rPr>
          <w:t>Chip.Krieg@Sonoco.com</w:t>
        </w:r>
      </w:hyperlink>
    </w:p>
    <w:p w:rsidR="00E542C0" w:rsidRDefault="00E542C0" w:rsidP="00E542C0">
      <w:pPr>
        <w:spacing w:after="0" w:line="240" w:lineRule="auto"/>
      </w:pPr>
    </w:p>
    <w:p w:rsidR="00301599" w:rsidRDefault="00E542C0" w:rsidP="00301599">
      <w:pPr>
        <w:spacing w:after="0" w:line="240" w:lineRule="auto"/>
      </w:pPr>
      <w:r>
        <w:t>Attachments:</w:t>
      </w:r>
    </w:p>
    <w:p w:rsidR="00E542C0" w:rsidRDefault="00E542C0" w:rsidP="00E542C0">
      <w:pPr>
        <w:spacing w:line="240" w:lineRule="auto"/>
      </w:pPr>
      <w:r>
        <w:t xml:space="preserve">  </w:t>
      </w:r>
      <w:r w:rsidR="007429A4">
        <w:t>TPC Website and Forum slides 12-1-14</w:t>
      </w:r>
    </w:p>
    <w:p w:rsidR="00E542C0" w:rsidRDefault="00E542C0" w:rsidP="007429A4">
      <w:pPr>
        <w:spacing w:line="240" w:lineRule="auto"/>
      </w:pPr>
      <w:r>
        <w:t xml:space="preserve">  IoPP TPD Standards Updates </w:t>
      </w:r>
      <w:r w:rsidR="007429A4">
        <w:t>12-3-14</w:t>
      </w:r>
    </w:p>
    <w:p w:rsidR="00E542C0" w:rsidRDefault="00E542C0"/>
    <w:p w:rsidR="00E542C0" w:rsidRDefault="007429A4">
      <w:r>
        <w:t>12-3</w:t>
      </w:r>
      <w:r w:rsidR="00E542C0">
        <w:t>-14 Conference Call Participants:  If I missed your name, please let me know.</w:t>
      </w:r>
    </w:p>
    <w:tbl>
      <w:tblPr>
        <w:tblW w:w="2289" w:type="dxa"/>
        <w:tblInd w:w="95" w:type="dxa"/>
        <w:tblLook w:val="04A0"/>
      </w:tblPr>
      <w:tblGrid>
        <w:gridCol w:w="8221"/>
      </w:tblGrid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005" w:type="dxa"/>
              <w:tblLook w:val="04A0"/>
            </w:tblPr>
            <w:tblGrid>
              <w:gridCol w:w="2065"/>
              <w:gridCol w:w="5940"/>
            </w:tblGrid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Luke Venechuk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Highlight Industries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Beth Feldkamp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Hewlett-Packard Company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Jeff Beckwith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 xml:space="preserve">FedEx </w:t>
                  </w:r>
                  <w:proofErr w:type="spellStart"/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TechConnect</w:t>
                  </w:r>
                  <w:proofErr w:type="spellEnd"/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Earl Lee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UPS Customer Solutions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Robert Egan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Avery Dennison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Amelia Simkins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Weber-Stephen Products, LLC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Mark Kostreva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Cummins Emission Solutions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Greg Fornasiero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The Home Depot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Dan Kelly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Sealed Air Corporation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Todd Hainer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Laminations,  Specialty Group of Great Northern Corporation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Chad Sevensma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QVC Inc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Gary Granzin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Weber-Stephen Products LLC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Gary Sharon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Litco</w:t>
                  </w:r>
                  <w:proofErr w:type="spellEnd"/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 xml:space="preserve"> International, Inc.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Gordon Bentley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McKee Foods Corporation</w:t>
                  </w:r>
                  <w:bookmarkStart w:id="0" w:name="_GoBack"/>
                  <w:bookmarkEnd w:id="0"/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Bill Green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IBM Corporation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Erin Topper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Topper and Associates, LLC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Chip Krieg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Sonoco Products Company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Pat Laurie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BISSELL Homecare, Inc.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A.J. Gruber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ISTA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Susie Elkins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Millwood, Inc.</w:t>
                  </w:r>
                </w:p>
              </w:tc>
            </w:tr>
            <w:tr w:rsidR="00005C07" w:rsidRPr="00005C07" w:rsidTr="00005C07">
              <w:trPr>
                <w:trHeight w:val="300"/>
              </w:trPr>
              <w:tc>
                <w:tcPr>
                  <w:tcW w:w="2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Bill Manning</w:t>
                  </w:r>
                </w:p>
              </w:tc>
              <w:tc>
                <w:tcPr>
                  <w:tcW w:w="5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5C07" w:rsidRPr="00005C07" w:rsidRDefault="00005C07" w:rsidP="00005C0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005C07">
                    <w:rPr>
                      <w:rFonts w:ascii="Calibri" w:eastAsia="Times New Roman" w:hAnsi="Calibri" w:cs="Times New Roman"/>
                      <w:color w:val="000000"/>
                    </w:rPr>
                    <w:t>Lockheed Martin Space Systems</w:t>
                  </w:r>
                </w:p>
              </w:tc>
            </w:tr>
          </w:tbl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E08F9" w:rsidRPr="00FE08F9" w:rsidTr="002E3742">
        <w:trPr>
          <w:trHeight w:val="300"/>
        </w:trPr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8F9" w:rsidRPr="00FE08F9" w:rsidRDefault="00FE08F9" w:rsidP="00FE08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E08F9" w:rsidRDefault="00FE08F9" w:rsidP="002E3742"/>
    <w:sectPr w:rsidR="00FE08F9" w:rsidSect="004B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6FFC"/>
    <w:multiLevelType w:val="hybridMultilevel"/>
    <w:tmpl w:val="EDB86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610E"/>
    <w:multiLevelType w:val="hybridMultilevel"/>
    <w:tmpl w:val="7BCC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8282A"/>
    <w:multiLevelType w:val="hybridMultilevel"/>
    <w:tmpl w:val="FF98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96B60"/>
    <w:multiLevelType w:val="hybridMultilevel"/>
    <w:tmpl w:val="46A21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B667D"/>
    <w:multiLevelType w:val="hybridMultilevel"/>
    <w:tmpl w:val="21226552"/>
    <w:lvl w:ilvl="0" w:tplc="6FA0D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6B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C63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21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A9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020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83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6E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1EF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9F93560"/>
    <w:multiLevelType w:val="hybridMultilevel"/>
    <w:tmpl w:val="5DE4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D264B"/>
    <w:multiLevelType w:val="hybridMultilevel"/>
    <w:tmpl w:val="604A8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D6047"/>
    <w:multiLevelType w:val="hybridMultilevel"/>
    <w:tmpl w:val="5D78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D18BA"/>
    <w:multiLevelType w:val="hybridMultilevel"/>
    <w:tmpl w:val="8962F508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75242FEB"/>
    <w:multiLevelType w:val="hybridMultilevel"/>
    <w:tmpl w:val="C6D4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84596"/>
    <w:multiLevelType w:val="hybridMultilevel"/>
    <w:tmpl w:val="919CB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9F0839"/>
    <w:rsid w:val="00005C07"/>
    <w:rsid w:val="00060388"/>
    <w:rsid w:val="000F5232"/>
    <w:rsid w:val="00142008"/>
    <w:rsid w:val="00155DDA"/>
    <w:rsid w:val="00190276"/>
    <w:rsid w:val="001B453C"/>
    <w:rsid w:val="0022106D"/>
    <w:rsid w:val="002C1C1B"/>
    <w:rsid w:val="002E3742"/>
    <w:rsid w:val="00301599"/>
    <w:rsid w:val="0031017F"/>
    <w:rsid w:val="0038563D"/>
    <w:rsid w:val="003A267D"/>
    <w:rsid w:val="003B757E"/>
    <w:rsid w:val="0042012C"/>
    <w:rsid w:val="00461D50"/>
    <w:rsid w:val="004B3B6E"/>
    <w:rsid w:val="005170E7"/>
    <w:rsid w:val="005C5CAF"/>
    <w:rsid w:val="005E5F7C"/>
    <w:rsid w:val="005E7AA1"/>
    <w:rsid w:val="006879CC"/>
    <w:rsid w:val="006D7646"/>
    <w:rsid w:val="00707D5E"/>
    <w:rsid w:val="007175ED"/>
    <w:rsid w:val="00725023"/>
    <w:rsid w:val="007429A4"/>
    <w:rsid w:val="00771454"/>
    <w:rsid w:val="007D293E"/>
    <w:rsid w:val="00865B32"/>
    <w:rsid w:val="009F0839"/>
    <w:rsid w:val="00AC1579"/>
    <w:rsid w:val="00AC1DAA"/>
    <w:rsid w:val="00AD6216"/>
    <w:rsid w:val="00BB0FAD"/>
    <w:rsid w:val="00BF745D"/>
    <w:rsid w:val="00C70DB0"/>
    <w:rsid w:val="00DA6E44"/>
    <w:rsid w:val="00E542C0"/>
    <w:rsid w:val="00E633AC"/>
    <w:rsid w:val="00EB0A0A"/>
    <w:rsid w:val="00F63E96"/>
    <w:rsid w:val="00FB5D7F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42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D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42C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5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p.Krieg@Sonoco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opp.org/i4a/pages/index.cfm?pageid=1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5D01-3DEA-455C-B999-DD4A8F9D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SONOCO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A.J. Gruber</dc:creator>
  <cp:lastModifiedBy>Chip Krieg</cp:lastModifiedBy>
  <cp:revision>2</cp:revision>
  <cp:lastPrinted>2014-09-17T13:30:00Z</cp:lastPrinted>
  <dcterms:created xsi:type="dcterms:W3CDTF">2014-12-10T15:53:00Z</dcterms:created>
  <dcterms:modified xsi:type="dcterms:W3CDTF">2014-12-10T15:53:00Z</dcterms:modified>
</cp:coreProperties>
</file>